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Hand on a Gun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 didn’t want to believe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That there was such a thing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As a truly evil man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 like to go to sleep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Believing that we all can be redeemed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The devil is in the details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Doesn’t ring true for me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He is sunbathing on the shore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I’ve seen him on the TV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I’ve seen him shaking his fists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And he doesn’t need my money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But he’ll take all of it, yeah he take all of it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And he’ll never be happy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Still he grins in the sun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He’s heavy and cold and real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As your hand on a gun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As your hand on a gun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Tell me now what does it mean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That I’ve seen what I have seen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And still don’t change, change a thing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Is it enough to be angry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Or do I have to do something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To draw a line between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The devil and me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I’ve seen him on the TV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I’ve seen him shaking his fists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And he doesn’t need my money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But he’ll take all of it, yeah he take all of it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And he’ll never be happy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Still he grins in the sun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He’s heavy and cold and real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As your hand on a gun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As your hand on a gun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